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E" w:rsidRDefault="00C91CEE">
      <w:pPr>
        <w:pStyle w:val="a3"/>
        <w:spacing w:before="0"/>
        <w:ind w:right="-42"/>
        <w:rPr>
          <w:sz w:val="20"/>
        </w:rPr>
      </w:pPr>
    </w:p>
    <w:p w:rsidR="00C91CEE" w:rsidRPr="000777F7" w:rsidRDefault="00F002A4">
      <w:pPr>
        <w:pStyle w:val="a3"/>
        <w:spacing w:before="67"/>
        <w:ind w:right="127"/>
        <w:jc w:val="right"/>
        <w:rPr>
          <w:lang w:val="ru-RU"/>
        </w:rPr>
      </w:pPr>
      <w:bookmarkStart w:id="0" w:name="pokaz-mon-za-2018"/>
      <w:bookmarkEnd w:id="0"/>
      <w:r w:rsidRPr="000777F7">
        <w:rPr>
          <w:lang w:val="ru-RU"/>
        </w:rPr>
        <w:t>Приложение № 1</w:t>
      </w:r>
    </w:p>
    <w:p w:rsidR="00C91CEE" w:rsidRPr="000777F7" w:rsidRDefault="00C91CEE">
      <w:pPr>
        <w:pStyle w:val="a3"/>
        <w:spacing w:before="0"/>
        <w:rPr>
          <w:sz w:val="24"/>
          <w:lang w:val="ru-RU"/>
        </w:rPr>
      </w:pPr>
    </w:p>
    <w:p w:rsidR="000777F7" w:rsidRDefault="00F002A4">
      <w:pPr>
        <w:pStyle w:val="1"/>
        <w:rPr>
          <w:lang w:val="ru-RU"/>
        </w:rPr>
      </w:pPr>
      <w:r w:rsidRPr="000777F7">
        <w:rPr>
          <w:lang w:val="ru-RU"/>
        </w:rPr>
        <w:t>ПОКАЗАТЕЛИ МОНИТОРИНГА СИСТЕМЫ ОБРАЗОВАНИЯ</w:t>
      </w:r>
      <w:r w:rsidR="000777F7">
        <w:rPr>
          <w:lang w:val="ru-RU"/>
        </w:rPr>
        <w:t xml:space="preserve">                                          </w:t>
      </w:r>
    </w:p>
    <w:p w:rsidR="00C91CEE" w:rsidRPr="000777F7" w:rsidRDefault="000777F7">
      <w:pPr>
        <w:pStyle w:val="1"/>
        <w:rPr>
          <w:lang w:val="ru-RU"/>
        </w:rPr>
      </w:pPr>
      <w:r>
        <w:rPr>
          <w:lang w:val="ru-RU"/>
        </w:rPr>
        <w:t xml:space="preserve">                      в МКОУ «Друкжбинская СОШ».</w:t>
      </w:r>
    </w:p>
    <w:p w:rsidR="00C91CEE" w:rsidRPr="000777F7" w:rsidRDefault="00C91CEE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2895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AF4E18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1D289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1D2895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тысяча рублей</w:t>
            </w:r>
          </w:p>
        </w:tc>
      </w:tr>
      <w:tr w:rsidR="00C91CEE" w:rsidRPr="001D289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Pr="00F002A4" w:rsidRDefault="003E169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C91CEE" w:rsidRPr="00F002A4" w:rsidRDefault="00702C54" w:rsidP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  <w:r w:rsidR="00F002A4">
              <w:rPr>
                <w:sz w:val="28"/>
                <w:lang w:val="ru-RU"/>
              </w:rPr>
              <w:t xml:space="preserve"> %</w:t>
            </w:r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</w:t>
            </w:r>
            <w:r w:rsidR="003E169E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образования.</w:t>
            </w:r>
          </w:p>
        </w:tc>
        <w:tc>
          <w:tcPr>
            <w:tcW w:w="2551" w:type="dxa"/>
          </w:tcPr>
          <w:p w:rsidR="00C91CEE" w:rsidRPr="00F002A4" w:rsidRDefault="00702C5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72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C91CEE" w:rsidRPr="00F002A4" w:rsidRDefault="00702C54" w:rsidP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58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C91CEE" w:rsidRPr="003E169E" w:rsidRDefault="00702C5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309</w:t>
            </w:r>
            <w:r w:rsidR="00F002A4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человек</w:t>
            </w:r>
            <w:r w:rsidR="003E169E">
              <w:rPr>
                <w:sz w:val="28"/>
                <w:lang w:val="ru-RU"/>
              </w:rPr>
              <w:t xml:space="preserve"> 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C91CEE" w:rsidRPr="003E169E" w:rsidRDefault="00702C5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295</w:t>
            </w:r>
            <w:r w:rsidR="00F002A4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C91CEE" w:rsidRPr="003E169E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62 </w:t>
            </w: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3E169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3E169E" w:rsidRDefault="00702C54" w:rsidP="003E169E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="003E169E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702C5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3E169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3E169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  <w:r w:rsidR="003E169E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нарушениями)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</w:t>
            </w:r>
            <w:r w:rsidR="00006AEC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</w:t>
            </w:r>
            <w:r w:rsidR="00006AE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работника.</w:t>
            </w:r>
          </w:p>
        </w:tc>
        <w:tc>
          <w:tcPr>
            <w:tcW w:w="2551" w:type="dxa"/>
          </w:tcPr>
          <w:p w:rsidR="00C91CEE" w:rsidRDefault="009E064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F002A4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  <w:r w:rsidR="00006AE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нарушениями)</w:t>
            </w:r>
          </w:p>
        </w:tc>
        <w:tc>
          <w:tcPr>
            <w:tcW w:w="2551" w:type="dxa"/>
          </w:tcPr>
          <w:p w:rsidR="00C91CEE" w:rsidRPr="00F002A4" w:rsidRDefault="009E064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C91CEE" w:rsidRPr="00006AEC" w:rsidRDefault="009E0645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  <w:r w:rsidR="00006AEC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</w:t>
            </w:r>
            <w:r w:rsidR="00006AEC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2551" w:type="dxa"/>
          </w:tcPr>
          <w:p w:rsidR="00C91CEE" w:rsidRPr="00F002A4" w:rsidRDefault="00006AE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72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006AE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006AE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="00006AEC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C91CEE" w:rsidRDefault="00006AEC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 w:rsidR="00F002A4">
              <w:rPr>
                <w:sz w:val="28"/>
                <w:lang w:val="ru-RU"/>
              </w:rPr>
              <w:t xml:space="preserve">,5 </w:t>
            </w:r>
            <w:r w:rsidR="00F002A4">
              <w:rPr>
                <w:sz w:val="28"/>
              </w:rPr>
              <w:t>квадратный метр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1"/>
        <w:gridCol w:w="2551"/>
      </w:tblGrid>
      <w:tr w:rsidR="00C91CEE" w:rsidRPr="001D2895" w:rsidTr="009E4134">
        <w:trPr>
          <w:trHeight w:val="849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 w:rsidTr="009E4134">
        <w:trPr>
          <w:trHeight w:val="1170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Tr="009E4134">
        <w:trPr>
          <w:trHeight w:val="525"/>
        </w:trPr>
        <w:tc>
          <w:tcPr>
            <w:tcW w:w="779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D90761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</w:tr>
      <w:tr w:rsidR="00C91CEE" w:rsidTr="009E4134">
        <w:trPr>
          <w:trHeight w:val="525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0777F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91CEE" w:rsidTr="009E4134">
        <w:trPr>
          <w:trHeight w:val="2460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9E413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="00F002A4">
              <w:rPr>
                <w:sz w:val="28"/>
                <w:lang w:val="ru-RU"/>
              </w:rPr>
              <w:t>0%</w:t>
            </w:r>
          </w:p>
        </w:tc>
      </w:tr>
      <w:tr w:rsidR="00C91CEE" w:rsidTr="009E4134">
        <w:trPr>
          <w:trHeight w:val="1168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3E169E" w:rsidTr="009E4134">
        <w:trPr>
          <w:trHeight w:val="1170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9E413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 w:rsidTr="009E4134">
        <w:trPr>
          <w:trHeight w:val="1168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 w:rsidRPr="001D2895" w:rsidTr="009E4134">
        <w:trPr>
          <w:trHeight w:val="2138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Tr="009E4134">
        <w:trPr>
          <w:trHeight w:val="1168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Tr="009E4134">
        <w:trPr>
          <w:trHeight w:val="525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Tr="009E4134">
        <w:trPr>
          <w:trHeight w:val="1492"/>
        </w:trPr>
        <w:tc>
          <w:tcPr>
            <w:tcW w:w="779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9E413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="00F002A4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9E413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C91CEE" w:rsidRDefault="009E413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 w:rsidR="009E4134">
              <w:rPr>
                <w:sz w:val="28"/>
                <w:lang w:val="ru-RU"/>
              </w:rPr>
              <w:t>2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9E413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</w:t>
            </w:r>
            <w:r w:rsidR="009E4134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0B370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</w:t>
            </w:r>
            <w:r w:rsidR="006F33E3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9E413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6F33E3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</w:t>
            </w:r>
            <w:r w:rsidR="009E4134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9E4134" w:rsidRDefault="009E4134" w:rsidP="009E4134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3E169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="009E4134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C91CEE" w:rsidRPr="00F002A4" w:rsidRDefault="009E413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C91CEE" w:rsidRPr="001D2895" w:rsidRDefault="001D289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47,6 </w:t>
            </w:r>
            <w:r w:rsidR="00F002A4">
              <w:rPr>
                <w:sz w:val="28"/>
              </w:rPr>
              <w:t>тысяча р</w:t>
            </w:r>
            <w:r>
              <w:rPr>
                <w:sz w:val="28"/>
                <w:lang w:val="ru-RU"/>
              </w:rPr>
              <w:t>ублей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</w:t>
            </w:r>
            <w:r w:rsidR="000B3701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организаций</w:t>
            </w:r>
          </w:p>
        </w:tc>
        <w:tc>
          <w:tcPr>
            <w:tcW w:w="2551" w:type="dxa"/>
          </w:tcPr>
          <w:p w:rsidR="00C91CEE" w:rsidRPr="000B3701" w:rsidRDefault="000B3701" w:rsidP="000B3701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289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172292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="007433A3">
              <w:rPr>
                <w:sz w:val="28"/>
                <w:lang w:val="ru-RU"/>
              </w:rPr>
              <w:t>0%</w:t>
            </w:r>
            <w:bookmarkStart w:id="1" w:name="_GoBack"/>
            <w:bookmarkEnd w:id="1"/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310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 w:rsidRPr="001D289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C91CEE" w:rsidRPr="00F002A4" w:rsidRDefault="00F002A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  <w:t>значимых</w:t>
            </w:r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2895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F002A4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2895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310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310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C91CEE" w:rsidRPr="00F002A4" w:rsidRDefault="00F002A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C91CEE" w:rsidRDefault="00F002A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C91CEE" w:rsidRDefault="00F002A4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C91CEE" w:rsidRPr="00F002A4" w:rsidRDefault="00F002A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289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289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pStyle w:val="a3"/>
        <w:spacing w:before="7"/>
        <w:rPr>
          <w:sz w:val="19"/>
        </w:rPr>
      </w:pPr>
    </w:p>
    <w:p w:rsidR="00C91CEE" w:rsidRDefault="00F002A4">
      <w:pPr>
        <w:pStyle w:val="a3"/>
        <w:spacing w:before="89"/>
        <w:ind w:left="653"/>
      </w:pPr>
      <w:r>
        <w:t>--------------------------------</w:t>
      </w:r>
    </w:p>
    <w:p w:rsidR="00C91CEE" w:rsidRPr="00F002A4" w:rsidRDefault="00F002A4">
      <w:pPr>
        <w:pStyle w:val="a3"/>
        <w:spacing w:before="218" w:line="242" w:lineRule="auto"/>
        <w:ind w:left="112" w:firstLine="540"/>
        <w:rPr>
          <w:lang w:val="ru-RU"/>
        </w:rPr>
      </w:pPr>
      <w:bookmarkStart w:id="2" w:name="_bookmark0"/>
      <w:bookmarkEnd w:id="2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C91CEE" w:rsidRPr="00F002A4" w:rsidRDefault="00F002A4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3" w:name="_bookmark1"/>
      <w:bookmarkEnd w:id="3"/>
      <w:r w:rsidRPr="00F002A4">
        <w:rPr>
          <w:lang w:val="ru-RU"/>
        </w:rPr>
        <w:t>.</w:t>
      </w:r>
    </w:p>
    <w:p w:rsidR="00C91CEE" w:rsidRPr="00F002A4" w:rsidRDefault="00C91CEE">
      <w:pPr>
        <w:spacing w:line="317" w:lineRule="exact"/>
        <w:rPr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002A4" w:rsidRPr="00F002A4" w:rsidRDefault="00F002A4" w:rsidP="008627E5">
      <w:pPr>
        <w:pStyle w:val="a3"/>
        <w:spacing w:before="4"/>
        <w:rPr>
          <w:lang w:val="ru-RU"/>
        </w:rPr>
      </w:pPr>
    </w:p>
    <w:sectPr w:rsidR="00F002A4" w:rsidRPr="00F002A4" w:rsidSect="00FB23B1">
      <w:headerReference w:type="default" r:id="rId9"/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F5E" w:rsidRDefault="00545F5E">
      <w:r>
        <w:separator/>
      </w:r>
    </w:p>
  </w:endnote>
  <w:endnote w:type="continuationSeparator" w:id="1">
    <w:p w:rsidR="00545F5E" w:rsidRDefault="0054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1" w:rsidRDefault="00E619EA">
    <w:pPr>
      <w:pStyle w:val="a3"/>
      <w:spacing w:before="0" w:line="14" w:lineRule="auto"/>
      <w:rPr>
        <w:sz w:val="20"/>
      </w:rPr>
    </w:pPr>
    <w:r w:rsidRPr="00E619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790.05pt;width:113.5pt;height:10.95pt;z-index:-151408;mso-position-horizontal-relative:page;mso-position-vertical-relative:page" filled="f" stroked="f">
          <v:textbox inset="0,0,0,0">
            <w:txbxContent>
              <w:p w:rsidR="00D90761" w:rsidRDefault="00D9076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F5E" w:rsidRDefault="00545F5E">
      <w:r>
        <w:separator/>
      </w:r>
    </w:p>
  </w:footnote>
  <w:footnote w:type="continuationSeparator" w:id="1">
    <w:p w:rsidR="00545F5E" w:rsidRDefault="0054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1" w:rsidRDefault="00E619EA">
    <w:pPr>
      <w:pStyle w:val="a3"/>
      <w:spacing w:before="0" w:line="14" w:lineRule="auto"/>
      <w:rPr>
        <w:sz w:val="20"/>
      </w:rPr>
    </w:pPr>
    <w:r w:rsidRPr="00E619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29.35pt;width:15.3pt;height:13.05pt;z-index:-151384;mso-position-horizontal-relative:page;mso-position-vertical-relative:page" filled="f" stroked="f">
          <v:textbox inset="0,0,0,0">
            <w:txbxContent>
              <w:p w:rsidR="00D90761" w:rsidRDefault="00E619EA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D90761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1D2895">
                  <w:rPr>
                    <w:rFonts w:ascii="Trebuchet MS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1" w:rsidRDefault="00E619EA">
    <w:pPr>
      <w:pStyle w:val="a3"/>
      <w:spacing w:before="0" w:line="14" w:lineRule="auto"/>
      <w:rPr>
        <w:sz w:val="20"/>
      </w:rPr>
    </w:pPr>
    <w:r w:rsidRPr="00E619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55pt;margin-top:36.45pt;width:15.3pt;height:13.05pt;z-index:-151312;mso-position-horizontal-relative:page;mso-position-vertical-relative:page" filled="f" stroked="f">
          <v:textbox inset="0,0,0,0">
            <w:txbxContent>
              <w:p w:rsidR="00D90761" w:rsidRDefault="00E619EA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D90761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1D2895">
                  <w:rPr>
                    <w:rFonts w:ascii="Arial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91CEE"/>
    <w:rsid w:val="00006AEC"/>
    <w:rsid w:val="00011FF7"/>
    <w:rsid w:val="00017782"/>
    <w:rsid w:val="000777F7"/>
    <w:rsid w:val="0009349B"/>
    <w:rsid w:val="000B3701"/>
    <w:rsid w:val="00172292"/>
    <w:rsid w:val="001B265A"/>
    <w:rsid w:val="001D2895"/>
    <w:rsid w:val="002D07FF"/>
    <w:rsid w:val="00300CE3"/>
    <w:rsid w:val="003A40D4"/>
    <w:rsid w:val="003E169E"/>
    <w:rsid w:val="0049600C"/>
    <w:rsid w:val="004C357D"/>
    <w:rsid w:val="005246D7"/>
    <w:rsid w:val="00545F5E"/>
    <w:rsid w:val="0057641E"/>
    <w:rsid w:val="0061720C"/>
    <w:rsid w:val="006F33E3"/>
    <w:rsid w:val="00702C54"/>
    <w:rsid w:val="007433A3"/>
    <w:rsid w:val="007A6018"/>
    <w:rsid w:val="008627E5"/>
    <w:rsid w:val="008727DD"/>
    <w:rsid w:val="008C6E74"/>
    <w:rsid w:val="009E0645"/>
    <w:rsid w:val="009E4134"/>
    <w:rsid w:val="00A45782"/>
    <w:rsid w:val="00AF4E18"/>
    <w:rsid w:val="00C91CEE"/>
    <w:rsid w:val="00D3510B"/>
    <w:rsid w:val="00D90761"/>
    <w:rsid w:val="00E074C6"/>
    <w:rsid w:val="00E619EA"/>
    <w:rsid w:val="00F002A4"/>
    <w:rsid w:val="00FB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27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7E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8627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7E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7426</Words>
  <Characters>42333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Ученик12</cp:lastModifiedBy>
  <cp:revision>16</cp:revision>
  <dcterms:created xsi:type="dcterms:W3CDTF">2019-12-17T05:23:00Z</dcterms:created>
  <dcterms:modified xsi:type="dcterms:W3CDTF">2019-12-19T11:22:00Z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